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bdr w:val="none" w:color="auto" w:sz="0" w:space="0"/>
          <w:shd w:val="clear" w:fill="FFFFFF"/>
        </w:rPr>
        <w:t>河北工业大学公开招聘拟聘人员名单公示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752" w:type="dxa"/>
        <w:jc w:val="center"/>
        <w:tblCellSpacing w:w="15" w:type="dxa"/>
        <w:tblInd w:w="3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81"/>
        <w:gridCol w:w="794"/>
        <w:gridCol w:w="468"/>
        <w:gridCol w:w="681"/>
        <w:gridCol w:w="2271"/>
        <w:gridCol w:w="2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名古屋大学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国际交流专业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马婧伟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生物化学与分子生物学专业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控制工程专业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成云凤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刘怡然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李思倩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郎学莹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中国哲学专业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E366C"/>
    <w:rsid w:val="182E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2017-10-19T07:14:00Z</dcterms:created>
  <dc:creator>ASUS</dc:creator>
  <cp:lastModifiedBy>ASUS</cp:lastModifiedBy>
  <dcterms:modified xsi:type="dcterms:W3CDTF">2017-10-19T07:14:40Z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