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81"/>
        <w:gridCol w:w="668"/>
        <w:gridCol w:w="704"/>
        <w:gridCol w:w="417"/>
        <w:gridCol w:w="1181"/>
        <w:gridCol w:w="1983"/>
        <w:gridCol w:w="678"/>
        <w:gridCol w:w="2234"/>
      </w:tblGrid>
      <w:tr w:rsidR="00847D13" w:rsidRPr="00847D13" w:rsidTr="00847D13">
        <w:trPr>
          <w:trHeight w:val="600"/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</w:t>
            </w:r>
          </w:p>
          <w:p w:rsidR="00847D13" w:rsidRPr="00847D13" w:rsidRDefault="00847D13" w:rsidP="00847D1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</w:t>
            </w:r>
          </w:p>
          <w:p w:rsidR="00847D13" w:rsidRPr="00847D13" w:rsidRDefault="00847D13" w:rsidP="00847D1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1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岗位职责</w:t>
            </w:r>
          </w:p>
        </w:tc>
        <w:tc>
          <w:tcPr>
            <w:tcW w:w="2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专业、学历/学位要求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招聘范围</w:t>
            </w:r>
          </w:p>
        </w:tc>
        <w:tc>
          <w:tcPr>
            <w:tcW w:w="26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adjustRightInd/>
              <w:snapToGrid/>
              <w:spacing w:after="0" w:line="240" w:lineRule="atLeast"/>
              <w:ind w:firstLine="36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其他资格条件</w:t>
            </w:r>
          </w:p>
        </w:tc>
      </w:tr>
      <w:tr w:rsidR="00847D13" w:rsidRPr="00847D13" w:rsidTr="00847D13">
        <w:trPr>
          <w:trHeight w:val="600"/>
          <w:tblCellSpacing w:w="0" w:type="dxa"/>
        </w:trPr>
        <w:tc>
          <w:tcPr>
            <w:tcW w:w="7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潘天寿艺术设计学院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专技（十二级）</w:t>
            </w:r>
          </w:p>
        </w:tc>
        <w:tc>
          <w:tcPr>
            <w:tcW w:w="780" w:type="dxa"/>
            <w:tcBorders>
              <w:top w:val="inset" w:sz="6" w:space="0" w:color="000000"/>
              <w:left w:val="inset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教学科研1</w:t>
            </w:r>
          </w:p>
        </w:tc>
        <w:tc>
          <w:tcPr>
            <w:tcW w:w="4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艺术教学，实践创作与指导</w:t>
            </w:r>
          </w:p>
        </w:tc>
        <w:tc>
          <w:tcPr>
            <w:tcW w:w="2355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艺术设计学（媒体艺术研究、数字媒体艺术、数码媒体、电影与影像艺术）专业；研究生学历且硕士及以上学位。</w:t>
            </w:r>
          </w:p>
        </w:tc>
        <w:tc>
          <w:tcPr>
            <w:tcW w:w="750" w:type="dxa"/>
            <w:vMerge w:val="restart"/>
            <w:tcBorders>
              <w:top w:val="inset" w:sz="6" w:space="0" w:color="000000"/>
              <w:left w:val="nil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2625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符合下列条件之一：</w:t>
            </w:r>
          </w:p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1、2018年全日制应届毕业生；</w:t>
            </w:r>
          </w:p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2、历届生(已取得学历学位),有2年及以上从事本专业的工作经历；年龄在35周岁以下。</w:t>
            </w:r>
          </w:p>
        </w:tc>
      </w:tr>
      <w:tr w:rsidR="00847D13" w:rsidRPr="00847D13" w:rsidTr="00847D13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13" w:rsidRPr="00847D13" w:rsidRDefault="00847D13" w:rsidP="00847D1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13" w:rsidRPr="00847D13" w:rsidRDefault="00847D13" w:rsidP="00847D1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inset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教学科研2</w:t>
            </w:r>
          </w:p>
        </w:tc>
        <w:tc>
          <w:tcPr>
            <w:tcW w:w="4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艺术教学，实践创作与指导，双语教学（英语）</w:t>
            </w:r>
          </w:p>
        </w:tc>
        <w:tc>
          <w:tcPr>
            <w:tcW w:w="2355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艺术学、广播电视学、广播电视艺术学专业；研究生学历且硕士及以上学位。</w:t>
            </w:r>
          </w:p>
        </w:tc>
        <w:tc>
          <w:tcPr>
            <w:tcW w:w="0" w:type="auto"/>
            <w:vMerge/>
            <w:tcBorders>
              <w:top w:val="inset" w:sz="6" w:space="0" w:color="000000"/>
              <w:left w:val="nil"/>
              <w:bottom w:val="single" w:sz="6" w:space="0" w:color="000000"/>
              <w:right w:val="inset" w:sz="6" w:space="0" w:color="000000"/>
            </w:tcBorders>
            <w:vAlign w:val="center"/>
            <w:hideMark/>
          </w:tcPr>
          <w:p w:rsidR="00847D13" w:rsidRPr="00847D13" w:rsidRDefault="00847D13" w:rsidP="00847D1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通过大学英语六级或有1年及以上英语国家留学经历，且符合下列条件之一：</w:t>
            </w:r>
          </w:p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1、2018年全日制应届毕业生；</w:t>
            </w:r>
          </w:p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2、历届生(已取得学历学位)，年龄在35周岁以下。</w:t>
            </w:r>
          </w:p>
        </w:tc>
      </w:tr>
      <w:tr w:rsidR="00847D13" w:rsidRPr="00847D13" w:rsidTr="00847D13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13" w:rsidRPr="00847D13" w:rsidRDefault="00847D13" w:rsidP="00847D1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13" w:rsidRPr="00847D13" w:rsidRDefault="00847D13" w:rsidP="00847D1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inset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教学科研3</w:t>
            </w:r>
          </w:p>
        </w:tc>
        <w:tc>
          <w:tcPr>
            <w:tcW w:w="4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艺术教学、实践创作与指导，双语教学（日语、法语、俄语）</w:t>
            </w:r>
          </w:p>
        </w:tc>
        <w:tc>
          <w:tcPr>
            <w:tcW w:w="2355" w:type="dxa"/>
            <w:tcBorders>
              <w:top w:val="single" w:sz="6" w:space="0" w:color="000000"/>
              <w:left w:val="nil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美术学、艺术设计学（造型艺术、跨媒体艺术、艺术设计学研究）专业；</w:t>
            </w:r>
          </w:p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研究生学历且硕士及以上学位。</w:t>
            </w:r>
          </w:p>
        </w:tc>
        <w:tc>
          <w:tcPr>
            <w:tcW w:w="0" w:type="auto"/>
            <w:vMerge/>
            <w:tcBorders>
              <w:top w:val="inset" w:sz="6" w:space="0" w:color="000000"/>
              <w:left w:val="nil"/>
              <w:bottom w:val="single" w:sz="6" w:space="0" w:color="000000"/>
              <w:right w:val="inset" w:sz="6" w:space="0" w:color="000000"/>
            </w:tcBorders>
            <w:vAlign w:val="center"/>
            <w:hideMark/>
          </w:tcPr>
          <w:p w:rsidR="00847D13" w:rsidRPr="00847D13" w:rsidRDefault="00847D13" w:rsidP="00847D1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历届生（已取得学历学位），有1年及以上日本或法国或俄罗斯等国家留学经历；年龄在40周岁以下。</w:t>
            </w:r>
          </w:p>
        </w:tc>
      </w:tr>
      <w:tr w:rsidR="00847D13" w:rsidRPr="00847D13" w:rsidTr="00847D13">
        <w:trPr>
          <w:trHeight w:val="855"/>
          <w:tblCellSpacing w:w="0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图书馆与信息中心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专技（十二级）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系统开发与维护</w:t>
            </w: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负责图书馆信息管理系统、空间管理等应用系统维护、服务数据挖掘及数字资源整合工作。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计算机科学与技术或软件工程或信号与信息处理专业，或本科为计算机科学与技术或软件工程专业,研究生为应用数学、情报学专业;研究生学历且硕士及以上学位。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符合下列条件之一：</w:t>
            </w:r>
          </w:p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1、2018年全日制应届毕业生；</w:t>
            </w:r>
          </w:p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2、历届生(已取得学历学位)，年龄在35周岁以下。</w:t>
            </w:r>
          </w:p>
        </w:tc>
      </w:tr>
      <w:tr w:rsidR="00847D13" w:rsidRPr="00847D13" w:rsidTr="00847D13">
        <w:trPr>
          <w:trHeight w:val="855"/>
          <w:tblCellSpacing w:w="0" w:type="dxa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校园规划建设处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专技（十级）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工程项目管理等，适合男性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土木工程、结构工程、工程管理或建筑类专业；研究生学历且硕士及以上学位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浙江省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历届生（已取得学历学位），有2年及以上现场项目管理工作经历；具有土木工程、结构工程或建筑类方向工程师（中级）及以上职称；年龄在35周岁以下</w:t>
            </w:r>
          </w:p>
        </w:tc>
      </w:tr>
      <w:tr w:rsidR="00847D13" w:rsidRPr="00847D13" w:rsidTr="00847D13">
        <w:trPr>
          <w:trHeight w:val="855"/>
          <w:tblCellSpacing w:w="0" w:type="dxa"/>
        </w:trPr>
        <w:tc>
          <w:tcPr>
            <w:tcW w:w="7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校医院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公共卫生医师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学生体检及预防接种等工作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预防医学专业；本科及以上学历且学士及以上学位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历届生(已取得学历学位)；具有公共卫生执业医师资格；年龄在35周岁以下。</w:t>
            </w:r>
          </w:p>
        </w:tc>
      </w:tr>
      <w:tr w:rsidR="00847D13" w:rsidRPr="00847D13" w:rsidTr="00847D13">
        <w:trPr>
          <w:trHeight w:val="8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13" w:rsidRPr="00847D13" w:rsidRDefault="00847D13" w:rsidP="00847D13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梅山校区医务室医师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梅山校区医务室日常诊断、治疗、体检、军训保健、网络维护等工作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临床医学专业；本科及以上学历且学士及以上学位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D13" w:rsidRPr="00847D13" w:rsidRDefault="00847D13" w:rsidP="00847D13">
            <w:pPr>
              <w:shd w:val="clear" w:color="auto" w:fill="FFFFFF"/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47D1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历届生(已取得学历学位)；具有全科/内科执业医师资格；年龄在35周岁以下。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26571"/>
    <w:rsid w:val="004358AB"/>
    <w:rsid w:val="00847D13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D1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5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2018-07-27T07:24:00Z</dcterms:modified>
</cp:coreProperties>
</file>