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640" w:lineRule="atLeast"/>
        <w:ind w:left="0" w:firstLine="410"/>
        <w:jc w:val="left"/>
        <w:rPr>
          <w:sz w:val="17"/>
          <w:szCs w:val="17"/>
        </w:rPr>
      </w:pPr>
      <w:r>
        <w:rPr>
          <w:rFonts w:ascii="宋体" w:hAnsi="宋体" w:eastAsia="宋体" w:cs="宋体"/>
          <w:b/>
          <w:kern w:val="0"/>
          <w:sz w:val="28"/>
          <w:szCs w:val="28"/>
          <w:bdr w:val="none" w:color="auto" w:sz="0" w:space="0"/>
          <w:lang w:val="en-US" w:eastAsia="zh-CN" w:bidi="ar"/>
        </w:rPr>
        <w:t>专业及任职要求</w:t>
      </w:r>
    </w:p>
    <w:tbl>
      <w:tblPr>
        <w:tblW w:w="7585" w:type="dxa"/>
        <w:jc w:val="center"/>
        <w:tblInd w:w="4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1688"/>
        <w:gridCol w:w="1767"/>
        <w:gridCol w:w="633"/>
        <w:gridCol w:w="2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专业或专业类别</w:t>
            </w:r>
          </w:p>
        </w:tc>
        <w:tc>
          <w:tcPr>
            <w:tcW w:w="1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2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硕士以上研究生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中共党员；有同类院校工作经历者优先。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机械工程类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硕士以上研究生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具有2年以上相关工作经历者优先。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无人机技术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硕士以上研究生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具有无人机技术相关专业知识；能够熟练操控无人机并完成技能训练方面的教学。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飞机维修相关专业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硕士以上研究生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具有2年以上相关工作经历者优先。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车辆工程（新能源汽车方向）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硕士以上研究生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新能源汽车方向；具有2年以上相关工作经历者优先。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动车组检修技术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硕士以上研究生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具有高速动车的相关专业知识；能够完成高速动车的理论与实践教学；具有2年以上相关工作经历者优先。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硕士以上研究生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具有工业机器人专业的相关专业知识；能够熟练操控各种类型的工业机器人及其集成系统；能够完成工业机器人的理论与实践教学；具有2年以上相关工作经历者优先。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物联网技术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硕士以上研究生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了解物联网专业发展方向；掌握物联网系统及工程的基本原理；具有2年以上相关工作经历者优先。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硕士以上研究生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掌握计算机及网络技术的基本技能；具有2年以上相关工作经历者优先。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硕士以上研究生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掌握数字媒体应用技术；熟练使用PRE、AE等软件；具有2年以上相关工作经历者优先。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硕士以上研究生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本科须为电子商务专业；专业内容偏计算机方向优先；硕士专业与电子商务相关；具有2年以上相关工作经历者优先。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硕士以上研究生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有实际会计软件维护经验，有会计师、CPA证书优先；具有2年以上相关工作经历者优先。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硕士以上研究生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有实际投资经验、有会计师、CPA证书优先；具有2年以上相关工作经历者优先。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硕士以上研究生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本科、研究生都为学前教育专业；能任教学前教育专业理论课程。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  <w:jc w:val="center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硕士以上研究生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任教学前儿童舞蹈创编课程。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硕士以上研究生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任教学前儿童卫生保健类课程。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硕士以上研究生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有学前儿童文学、幼儿教师口语或大学语文教学经验者优先。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硕士以上研究生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能熟练运用Matlab等数学软件，有数学建模经验者优先。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外国语言文学（英语）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硕士以上研究生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师范类院校毕业或有教学经验者优先。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体育类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硕士以上研究生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能指导学院篮球、田径（投掷）队参加高水平的比赛；能胜任体育选项课教学；能组织大型体育活动等。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建筑电气与智能化、市政工程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硕士以上研究生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具有2年以上相关工作经历者优先。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硕士以上研究生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具有2年以上相关工作经历者优先。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  <w:jc w:val="center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图书情报与档案管理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全日制普通类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硕士以上研究生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有图书档案工作经历者优先。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327FC"/>
    <w:rsid w:val="304327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2018-10-31T08:39:00Z</dcterms:created>
  <dc:creator>ASUS</dc:creator>
  <cp:lastModifiedBy>ASUS</cp:lastModifiedBy>
  <dcterms:modified xsi:type="dcterms:W3CDTF">2018-10-31T08:39:37Z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